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/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6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Trebuchet MS" w:cs="Trebuchet MS" w:eastAsia="Trebuchet MS" w:hAnsi="Trebuchet MS"/>
          <w:b w:val="1"/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MINISTERO DELL’ISTRUZIONE DELL’UNIVERSITÀ E DELLA RICERCA </w:t>
      </w: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ISTITUTO COMPRENSIVO N. 4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Via Divisione Acqui, 160 - 41122  </w:t>
      </w: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MODENA  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14"/>
          <w:szCs w:val="14"/>
          <w:rtl w:val="0"/>
        </w:rPr>
        <w:t xml:space="preserve">moic85100d@istruzione.it</w:t>
      </w: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       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rFonts w:ascii="Trebuchet MS" w:cs="Trebuchet MS" w:eastAsia="Trebuchet MS" w:hAnsi="Trebuchet MS"/>
          <w:color w:val="0000ff"/>
          <w:sz w:val="14"/>
          <w:szCs w:val="1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PEC  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14"/>
          <w:szCs w:val="14"/>
          <w:rtl w:val="0"/>
        </w:rPr>
        <w:t xml:space="preserve">moic85100d@pec.istruzione.it</w:t>
      </w: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 Sito WEB 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14"/>
            <w:szCs w:val="1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center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Codice Fiscale  94185970368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COMUNICAZIONE N.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Modena,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ALBO-SITO WEB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DOCENTI-DSGA-ATA-GENITORI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TRASMISSIONE DECRETO DI ASSEGNAZIONE DOCENTI ALLE CLASSI  SCUOLA SECONDARIA DI 1° “G. FERRARIS”- IC4, A.S. 2021-22. INTEGRAZIONE.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T.U. emanato con D.Lgs. 297/94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il DPR n.275 dell’8/3/99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D.Lgs. n.165 del 31 maggio 2001 e s.m.i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D.Lgs. n.150 del 27 ottobre 2009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L.107/15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D.Lvo 62/2017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C.C.N.L/Comparto Scuola 29/11/2007 e il C.I. d’Istituto tuttora vigente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PTOF 2019-22 e, in particolare, le esigenze d’Istituto relative all’a.s. 2021/22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DECRETA: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Assegnazione dei Docenti alle classi 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SECONDARIA DI 1° “G. FERRARIS”- IC4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DIRIGENTE SCOLASTICO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 Pasquale Negro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firma autografa sostituita a mezzo stampa,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dell’art. 3, comma 2 del d.lgs. n. 39/1993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c4mod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