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901700"/>
            <wp:effectExtent b="0" l="0" r="0" t="0"/>
            <wp:wrapTopAndBottom distB="0" distT="0"/>
            <wp:docPr descr="Picture 1" id="1" name="image1.png"/>
            <a:graphic>
              <a:graphicData uri="http://schemas.openxmlformats.org/drawingml/2006/picture">
                <pic:pic>
                  <pic:nvPicPr>
                    <pic:cNvPr descr="Picture 1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1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PIANO TRIENNALE DI FORMAZIONE DEL PERSONALE DOCENTE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2019/22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Delibera n.9 della seduta del Collegio docenti del 30 ottobre  2019</w:t>
      </w:r>
      <w:r w:rsidDel="00000000" w:rsidR="00000000" w:rsidRPr="00000000">
        <w:rPr>
          <w:rtl w:val="0"/>
        </w:rPr>
      </w:r>
    </w:p>
    <w:tbl>
      <w:tblPr>
        <w:tblStyle w:val="Table1"/>
        <w:tblW w:w="145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57.333333333333"/>
        <w:gridCol w:w="4857.333333333333"/>
        <w:gridCol w:w="4857.333333333333"/>
        <w:tblGridChange w:id="0">
          <w:tblGrid>
            <w:gridCol w:w="4857.333333333333"/>
            <w:gridCol w:w="4857.333333333333"/>
            <w:gridCol w:w="4857.33333333333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ATTIVITA’ FORMATIVE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PERSONALE COINVOLTO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PRIORITA’ STRATEGICA CORRELATA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Piano formazione d’ambito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Il piano è articolato in diversi percorsi formativi afferenti alle 9 priorità del Piano formazione docenti. Gli insegnanti possono iscriversi ai singoli corsi. I programmi sono pubblicati sul sito dedicato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TUTTI I DOCENTI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Autonomia organizzativa e didattica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Didattica per competenze, innovazione metodologica e competenze di base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Competenze digitali e nuovi ambienti per l’apprendimento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Competenze di lingua straniera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Inclusione e disabilità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Coesione sociale e prevenzione del disagio giovanile globale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Integrazione, competenze di cittadinanza e cittadinanza globale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Valutazione e miglioramento. Il coinvolgimento di tutta la comunità scolastica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RAV, Piano di miglioramento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: formazione specifica rivolta ai docenti dell’area strumentale Ptof sui temi: rendicontazione sociale, valutazione, competenze, curricolo disciplinare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DOCENTI AREA PTOF E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Autonomia organizzativa e didattica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Valutazione e miglioramento. Il coinvolgimento di tutta la comunità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Andamento lento: formazione sulla metodologia EAS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(Episodi di apprendimento situato): percorso di formazione interna sulla didattica per competenze, l’uso flessibile del tempo, didattica laboratoriale, innovazione metodologica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TUTTI I DOCENTI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Didattica per competenze, innovazione metodologica e competenze di base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Competenze digitali e nuovi ambienti per l’apprendimento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Formazione interna e autoformazione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Nel corso del triennio si prevede l’attivazione di corsi formativi su questi temi: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privacy e documentazione attività didattica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sicurezza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educazione civica e competenze di cittadinanza (Legge 92/2019)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TUTTI I DOCENTI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Autonomia organizzativa e didattica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Didattica per competenze, innovazione metodologica e competenze di base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Integrazione, competenze di cittadinanza e cittadinanza globale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Valutazione e miglioramento. Il coinvolgimento di tutta la comunità scolastica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Coesione sociale e prevenzione del disagio giovanile globale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Formazione PNSD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: percorsi formativi sull’uso di strumenti digitali e sviluppo ambienti di apprendimento.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utilizzo piattaforma Gsuite d’istituto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utilizzo stampante 3D e programmi CAD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utilizzo Web app per la didattica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formazione su tinkering, coding  e making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utilizzo Byod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TUTTI I DOCENTI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Competenze digitali e nuovi ambienti per l’apprendimento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Didattica per competenze, innovazione metodologica e competenze di base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Intercultura e inclusione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u w:val="single"/>
                <w:rtl w:val="0"/>
              </w:rPr>
              <w:t xml:space="preserve">Formazione dedicata alla promozione di una didattica inclusiva come modalità quotidiana di gestione delle classi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rFonts w:ascii="Georgia" w:cs="Georgia" w:eastAsia="Georgia" w:hAnsi="Georgia"/>
                <w:color w:val="22222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222222"/>
                <w:sz w:val="24"/>
                <w:szCs w:val="24"/>
                <w:rtl w:val="0"/>
              </w:rPr>
              <w:t xml:space="preserve">crisi comportamentali/protocollo;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rFonts w:ascii="Georgia" w:cs="Georgia" w:eastAsia="Georgia" w:hAnsi="Georgia"/>
                <w:color w:val="22222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222222"/>
                <w:sz w:val="24"/>
                <w:szCs w:val="24"/>
                <w:rtl w:val="0"/>
              </w:rPr>
              <w:t xml:space="preserve">disturbi relazionali;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rFonts w:ascii="Georgia" w:cs="Georgia" w:eastAsia="Georgia" w:hAnsi="Georgia"/>
                <w:color w:val="22222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222222"/>
                <w:sz w:val="24"/>
                <w:szCs w:val="24"/>
                <w:rtl w:val="0"/>
              </w:rPr>
              <w:t xml:space="preserve">comunicazione e comunicazione aumentativa;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rFonts w:ascii="Georgia" w:cs="Georgia" w:eastAsia="Georgia" w:hAnsi="Georgia"/>
                <w:color w:val="22222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222222"/>
                <w:sz w:val="24"/>
                <w:szCs w:val="24"/>
                <w:rtl w:val="0"/>
              </w:rPr>
              <w:t xml:space="preserve">didattica e pedagogia del gioco.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u w:val="single"/>
                <w:rtl w:val="0"/>
              </w:rPr>
              <w:t xml:space="preserve">Formazione su integrazione alunni stranieri, dialogo interculturale e sviluppo della sensibilità culturale (in collaborazione con Memo)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Georgia" w:cs="Georgia" w:eastAsia="Georgia" w:hAnsi="Georgia"/>
                <w:color w:val="22222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222222"/>
                <w:sz w:val="24"/>
                <w:szCs w:val="24"/>
                <w:rtl w:val="0"/>
              </w:rPr>
              <w:t xml:space="preserve"> sistemi scolastici dei paesi di origine;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Georgia" w:cs="Georgia" w:eastAsia="Georgia" w:hAnsi="Georgia"/>
                <w:color w:val="22222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222222"/>
                <w:sz w:val="24"/>
                <w:szCs w:val="24"/>
                <w:rtl w:val="0"/>
              </w:rPr>
              <w:t xml:space="preserve">- ruoli di genere;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Georgia" w:cs="Georgia" w:eastAsia="Georgia" w:hAnsi="Georgia"/>
                <w:color w:val="22222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222222"/>
                <w:sz w:val="24"/>
                <w:szCs w:val="24"/>
                <w:rtl w:val="0"/>
              </w:rPr>
              <w:t xml:space="preserve">- alimentazione;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Georgia" w:cs="Georgia" w:eastAsia="Georgia" w:hAnsi="Georgia"/>
                <w:color w:val="22222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222222"/>
                <w:sz w:val="24"/>
                <w:szCs w:val="24"/>
                <w:rtl w:val="0"/>
              </w:rPr>
              <w:t xml:space="preserve">- stili genitoriali;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hd w:fill="ffffff" w:val="clear"/>
              <w:spacing w:line="240" w:lineRule="auto"/>
              <w:ind w:left="720" w:hanging="360"/>
              <w:rPr>
                <w:rFonts w:ascii="Georgia" w:cs="Georgia" w:eastAsia="Georgia" w:hAnsi="Georgia"/>
                <w:color w:val="22222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222222"/>
                <w:sz w:val="24"/>
                <w:szCs w:val="24"/>
                <w:rtl w:val="0"/>
              </w:rPr>
              <w:t xml:space="preserve">- comorbilità fra disabilità e tematiche migratorie;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INSEGNANTI AREA INTERCULTURA ED INCLUSIONE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TUTTI I DOCENTI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Inclusione e disabilità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Coesione sociale e prevenzione del disagio giovanile globale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Integrazione, competenze di cittadinanza e cittadinanza globale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